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9E0" w:rsidRPr="00C92F6F" w:rsidRDefault="006629E0" w:rsidP="006629E0">
      <w:pPr>
        <w:pStyle w:val="Default"/>
        <w:rPr>
          <w:szCs w:val="23"/>
          <w:lang w:val="en-US"/>
        </w:rPr>
      </w:pPr>
      <w:r>
        <w:rPr>
          <w:b/>
          <w:lang w:val="en-US"/>
        </w:rPr>
        <w:t>Growth factor therapies of retinal dystrophies</w:t>
      </w:r>
      <w:r>
        <w:rPr>
          <w:szCs w:val="23"/>
          <w:lang w:val="en-US"/>
        </w:rPr>
        <w:tab/>
      </w:r>
      <w:r>
        <w:rPr>
          <w:szCs w:val="23"/>
          <w:lang w:val="en-US"/>
        </w:rPr>
        <w:tab/>
      </w:r>
    </w:p>
    <w:p w:rsidR="006629E0" w:rsidRPr="00042943" w:rsidRDefault="006629E0" w:rsidP="006629E0">
      <w:pPr>
        <w:pStyle w:val="Default"/>
        <w:rPr>
          <w:b/>
          <w:szCs w:val="23"/>
          <w:lang w:val="en-US"/>
        </w:rPr>
      </w:pPr>
    </w:p>
    <w:p w:rsidR="006629E0" w:rsidRPr="00042943" w:rsidRDefault="006629E0" w:rsidP="006629E0">
      <w:pPr>
        <w:pStyle w:val="Default"/>
        <w:rPr>
          <w:b/>
          <w:szCs w:val="23"/>
          <w:lang w:val="en-US"/>
        </w:rPr>
      </w:pPr>
    </w:p>
    <w:p w:rsidR="006629E0" w:rsidRDefault="006629E0" w:rsidP="006629E0">
      <w:pPr>
        <w:pStyle w:val="Default"/>
        <w:jc w:val="right"/>
        <w:rPr>
          <w:b/>
          <w:szCs w:val="23"/>
        </w:rPr>
      </w:pPr>
      <w:r>
        <w:rPr>
          <w:b/>
          <w:szCs w:val="23"/>
        </w:rPr>
        <w:lastRenderedPageBreak/>
        <w:t>Dr. Weng Tao</w:t>
      </w:r>
    </w:p>
    <w:p w:rsidR="006629E0" w:rsidRPr="006629E0" w:rsidRDefault="006629E0" w:rsidP="006629E0">
      <w:pPr>
        <w:pStyle w:val="Default"/>
        <w:jc w:val="right"/>
        <w:rPr>
          <w:szCs w:val="23"/>
        </w:rPr>
      </w:pPr>
      <w:proofErr w:type="spellStart"/>
      <w:r w:rsidRPr="006629E0">
        <w:rPr>
          <w:szCs w:val="23"/>
        </w:rPr>
        <w:t>Neurotech</w:t>
      </w:r>
      <w:proofErr w:type="spellEnd"/>
      <w:r w:rsidRPr="006629E0">
        <w:rPr>
          <w:szCs w:val="23"/>
        </w:rPr>
        <w:t xml:space="preserve"> USA</w:t>
      </w:r>
    </w:p>
    <w:p w:rsidR="006629E0" w:rsidRPr="006629E0" w:rsidRDefault="006629E0" w:rsidP="006629E0">
      <w:pPr>
        <w:pStyle w:val="Default"/>
        <w:jc w:val="right"/>
        <w:rPr>
          <w:szCs w:val="23"/>
        </w:rPr>
      </w:pPr>
      <w:r w:rsidRPr="006629E0">
        <w:rPr>
          <w:szCs w:val="23"/>
        </w:rPr>
        <w:t>Lincoln Rhode Island, USA</w:t>
      </w:r>
    </w:p>
    <w:p w:rsidR="006629E0" w:rsidRPr="006629E0" w:rsidRDefault="006629E0" w:rsidP="006629E0">
      <w:pPr>
        <w:pStyle w:val="Default"/>
        <w:rPr>
          <w:b/>
          <w:szCs w:val="23"/>
        </w:rPr>
        <w:sectPr w:rsidR="006629E0" w:rsidRPr="006629E0" w:rsidSect="00132525">
          <w:pgSz w:w="11907" w:h="16840" w:code="9"/>
          <w:pgMar w:top="1134" w:right="1134" w:bottom="1134" w:left="1134" w:header="709" w:footer="709" w:gutter="0"/>
          <w:cols w:num="2" w:space="3"/>
          <w:docGrid w:linePitch="360"/>
        </w:sectPr>
      </w:pPr>
    </w:p>
    <w:p w:rsidR="006629E0" w:rsidRPr="006629E0" w:rsidRDefault="006629E0" w:rsidP="006629E0">
      <w:pPr>
        <w:pStyle w:val="Default"/>
        <w:rPr>
          <w:b/>
          <w:szCs w:val="23"/>
        </w:rPr>
      </w:pPr>
    </w:p>
    <w:p w:rsidR="006629E0" w:rsidRPr="006629E0" w:rsidRDefault="006629E0" w:rsidP="006629E0">
      <w:pPr>
        <w:pStyle w:val="Default"/>
        <w:rPr>
          <w:b/>
          <w:szCs w:val="23"/>
        </w:rPr>
      </w:pPr>
    </w:p>
    <w:p w:rsidR="006629E0" w:rsidRPr="006629E0" w:rsidRDefault="006629E0" w:rsidP="006629E0">
      <w:pPr>
        <w:pStyle w:val="Default"/>
        <w:rPr>
          <w:b/>
          <w:szCs w:val="23"/>
        </w:rPr>
      </w:pPr>
    </w:p>
    <w:p w:rsidR="006629E0" w:rsidRPr="006629E0" w:rsidRDefault="006629E0" w:rsidP="006629E0">
      <w:pPr>
        <w:pStyle w:val="Default"/>
        <w:rPr>
          <w:b/>
          <w:szCs w:val="23"/>
        </w:rPr>
      </w:pPr>
    </w:p>
    <w:p w:rsidR="006629E0" w:rsidRPr="00E20E90" w:rsidRDefault="006629E0" w:rsidP="006629E0">
      <w:pPr>
        <w:jc w:val="both"/>
        <w:rPr>
          <w:rFonts w:ascii="Arial" w:hAnsi="Arial" w:cs="Arial"/>
          <w:b/>
        </w:rPr>
      </w:pPr>
      <w:r w:rsidRPr="00E20E90">
        <w:rPr>
          <w:rFonts w:ascii="Arial" w:hAnsi="Arial" w:cs="Arial"/>
          <w:b/>
        </w:rPr>
        <w:t>Objective</w:t>
      </w:r>
    </w:p>
    <w:p w:rsidR="006629E0" w:rsidRPr="00E20E90" w:rsidRDefault="006629E0" w:rsidP="006629E0">
      <w:pPr>
        <w:jc w:val="both"/>
        <w:rPr>
          <w:rFonts w:ascii="Arial" w:hAnsi="Arial" w:cs="Arial"/>
        </w:rPr>
      </w:pPr>
      <w:r w:rsidRPr="00E20E90">
        <w:rPr>
          <w:rFonts w:ascii="Arial" w:hAnsi="Arial" w:cs="Arial"/>
        </w:rPr>
        <w:t xml:space="preserve">To investigate whether CNTF, delivered via an encapsulated cell technology implant, preserves vision in subjects with geographic atrophy (GA) or retinitis </w:t>
      </w:r>
      <w:proofErr w:type="spellStart"/>
      <w:r w:rsidRPr="00E20E90">
        <w:rPr>
          <w:rFonts w:ascii="Arial" w:hAnsi="Arial" w:cs="Arial"/>
        </w:rPr>
        <w:t>pigmentosa</w:t>
      </w:r>
      <w:proofErr w:type="spellEnd"/>
      <w:r w:rsidRPr="00E20E90">
        <w:rPr>
          <w:rFonts w:ascii="Arial" w:hAnsi="Arial" w:cs="Arial"/>
        </w:rPr>
        <w:t xml:space="preserve"> (RP).</w:t>
      </w:r>
    </w:p>
    <w:p w:rsidR="006629E0" w:rsidRPr="00E20E90" w:rsidRDefault="006629E0" w:rsidP="006629E0">
      <w:pPr>
        <w:jc w:val="both"/>
        <w:rPr>
          <w:rFonts w:ascii="Arial" w:hAnsi="Arial" w:cs="Arial"/>
        </w:rPr>
      </w:pPr>
    </w:p>
    <w:p w:rsidR="006629E0" w:rsidRPr="00E20E90" w:rsidRDefault="006629E0" w:rsidP="006629E0">
      <w:pPr>
        <w:jc w:val="both"/>
        <w:rPr>
          <w:rFonts w:ascii="Arial" w:hAnsi="Arial" w:cs="Arial"/>
          <w:b/>
        </w:rPr>
      </w:pPr>
      <w:r w:rsidRPr="00E20E90">
        <w:rPr>
          <w:rFonts w:ascii="Arial" w:hAnsi="Arial" w:cs="Arial"/>
          <w:b/>
        </w:rPr>
        <w:t>Purpose</w:t>
      </w:r>
    </w:p>
    <w:p w:rsidR="006629E0" w:rsidRPr="00E20E90" w:rsidRDefault="006629E0" w:rsidP="006629E0">
      <w:pPr>
        <w:jc w:val="both"/>
        <w:rPr>
          <w:rFonts w:ascii="Arial" w:hAnsi="Arial" w:cs="Arial"/>
        </w:rPr>
      </w:pPr>
      <w:r w:rsidRPr="00E20E90">
        <w:rPr>
          <w:rFonts w:ascii="Arial" w:hAnsi="Arial" w:cs="Arial"/>
        </w:rPr>
        <w:t xml:space="preserve">Currently, no effective treatment is available for vision loss associated with GA and RP. NT-501 has shown potential efficacy in a phase 1 trial in patients with late-stage RP. The present study is to evaluate the safety and efficacy of NT-501 in a multi-center, double-masked, controlled, dose-ranging and randomized phase 2 </w:t>
      </w:r>
      <w:proofErr w:type="gramStart"/>
      <w:r w:rsidRPr="00E20E90">
        <w:rPr>
          <w:rFonts w:ascii="Arial" w:hAnsi="Arial" w:cs="Arial"/>
        </w:rPr>
        <w:t>trial</w:t>
      </w:r>
      <w:proofErr w:type="gramEnd"/>
      <w:r w:rsidRPr="00E20E90">
        <w:rPr>
          <w:rFonts w:ascii="Arial" w:hAnsi="Arial" w:cs="Arial"/>
        </w:rPr>
        <w:t xml:space="preserve"> for GA (CNTF2) and phase 2 trials for late RP (CNTF3) or early RP (CNTF4) in the U.S.</w:t>
      </w:r>
    </w:p>
    <w:p w:rsidR="006629E0" w:rsidRPr="00E20E90" w:rsidRDefault="006629E0" w:rsidP="006629E0">
      <w:pPr>
        <w:jc w:val="both"/>
        <w:rPr>
          <w:rFonts w:ascii="Arial" w:hAnsi="Arial" w:cs="Arial"/>
          <w:b/>
        </w:rPr>
      </w:pPr>
    </w:p>
    <w:p w:rsidR="006629E0" w:rsidRPr="00E20E90" w:rsidRDefault="006629E0" w:rsidP="006629E0">
      <w:pPr>
        <w:jc w:val="both"/>
        <w:rPr>
          <w:rFonts w:ascii="Arial" w:hAnsi="Arial" w:cs="Arial"/>
          <w:b/>
        </w:rPr>
      </w:pPr>
      <w:r w:rsidRPr="00E20E90">
        <w:rPr>
          <w:rFonts w:ascii="Arial" w:hAnsi="Arial" w:cs="Arial"/>
          <w:b/>
        </w:rPr>
        <w:t>Method</w:t>
      </w:r>
    </w:p>
    <w:p w:rsidR="006629E0" w:rsidRPr="00E20E90" w:rsidRDefault="006629E0" w:rsidP="006629E0">
      <w:pPr>
        <w:jc w:val="both"/>
        <w:rPr>
          <w:rFonts w:ascii="Arial" w:hAnsi="Arial" w:cs="Arial"/>
        </w:rPr>
      </w:pPr>
      <w:r w:rsidRPr="00E20E90">
        <w:rPr>
          <w:rFonts w:ascii="Arial" w:hAnsi="Arial" w:cs="Arial"/>
        </w:rPr>
        <w:t>The CNTF2 study consists of 48 participants that were randomized to the higher or lower CNTF output implant, or to sham surgery in a 2:1:1 ratio. The CNTF3 and CNTF4 studies each consist of 60 participants that were randomized to the higher CNTF output implant and the lower CNTF output implant in a 2:1 ratio. The contralateral eye received sham surgery. These studies will allow safety information to be compiled to develop the safety profile of the implant, and allow the evaluation of primary and secondary efficacy outcomes that may be used in future studies.</w:t>
      </w:r>
    </w:p>
    <w:p w:rsidR="006629E0" w:rsidRPr="00E20E90" w:rsidRDefault="006629E0" w:rsidP="006629E0">
      <w:pPr>
        <w:jc w:val="both"/>
        <w:rPr>
          <w:rFonts w:ascii="Arial" w:hAnsi="Arial" w:cs="Arial"/>
          <w:b/>
        </w:rPr>
      </w:pPr>
    </w:p>
    <w:p w:rsidR="006629E0" w:rsidRPr="00E20E90" w:rsidRDefault="006629E0" w:rsidP="006629E0">
      <w:pPr>
        <w:jc w:val="both"/>
        <w:rPr>
          <w:rFonts w:ascii="Arial" w:hAnsi="Arial" w:cs="Arial"/>
          <w:b/>
        </w:rPr>
      </w:pPr>
      <w:r w:rsidRPr="00E20E90">
        <w:rPr>
          <w:rFonts w:ascii="Arial" w:hAnsi="Arial" w:cs="Arial"/>
          <w:b/>
        </w:rPr>
        <w:t>Results</w:t>
      </w:r>
    </w:p>
    <w:p w:rsidR="006629E0" w:rsidRPr="00E20E90" w:rsidRDefault="006629E0" w:rsidP="006629E0">
      <w:pPr>
        <w:jc w:val="both"/>
        <w:rPr>
          <w:rFonts w:ascii="Arial" w:hAnsi="Arial" w:cs="Arial"/>
        </w:rPr>
      </w:pPr>
      <w:r w:rsidRPr="00E20E90">
        <w:rPr>
          <w:rFonts w:ascii="Arial" w:hAnsi="Arial" w:cs="Arial"/>
        </w:rPr>
        <w:t>To date, the results obtained from these studies suggest that the NT-501 i</w:t>
      </w:r>
      <w:bookmarkStart w:id="0" w:name="_GoBack"/>
      <w:bookmarkEnd w:id="0"/>
      <w:r w:rsidRPr="00E20E90">
        <w:rPr>
          <w:rFonts w:ascii="Arial" w:hAnsi="Arial" w:cs="Arial"/>
        </w:rPr>
        <w:t xml:space="preserve">mplant and the implant procedure are well tolerated and safe. There is an increase in thickness of the photoreceptor layers of the retina in CNTF treated eyes in all three studies. In addition, visual function stabilization was observed, as measured by 15-letter loss, in the high dose-treated group compared to sham and low dose groups at 12 months in the GA study. </w:t>
      </w:r>
    </w:p>
    <w:p w:rsidR="006629E0" w:rsidRPr="00E20E90" w:rsidRDefault="006629E0" w:rsidP="006629E0">
      <w:pPr>
        <w:jc w:val="both"/>
        <w:rPr>
          <w:rFonts w:ascii="Arial" w:hAnsi="Arial" w:cs="Arial"/>
          <w:b/>
        </w:rPr>
      </w:pPr>
    </w:p>
    <w:p w:rsidR="006629E0" w:rsidRPr="00E20E90" w:rsidRDefault="006629E0" w:rsidP="006629E0">
      <w:pPr>
        <w:jc w:val="both"/>
        <w:rPr>
          <w:rFonts w:ascii="Arial" w:hAnsi="Arial" w:cs="Arial"/>
          <w:b/>
        </w:rPr>
      </w:pPr>
      <w:r w:rsidRPr="00E20E90">
        <w:rPr>
          <w:rFonts w:ascii="Arial" w:hAnsi="Arial" w:cs="Arial"/>
          <w:b/>
        </w:rPr>
        <w:t>Conclusion</w:t>
      </w:r>
    </w:p>
    <w:p w:rsidR="006629E0" w:rsidRPr="00E20E90" w:rsidRDefault="006629E0" w:rsidP="006629E0">
      <w:pPr>
        <w:jc w:val="both"/>
        <w:rPr>
          <w:rFonts w:ascii="Arial" w:hAnsi="Arial" w:cs="Arial"/>
        </w:rPr>
      </w:pPr>
      <w:r w:rsidRPr="00E20E90">
        <w:rPr>
          <w:rFonts w:ascii="Arial" w:hAnsi="Arial" w:cs="Arial"/>
        </w:rPr>
        <w:t xml:space="preserve">CNTF delivered by intraocular ECT implant increased retinal thickness without serious adverse events in eyes of GA and RP patients. The structural change was accompanied by the corresponding stabilization of visual acuity in the GA patients. For the RP patients, it remains to be determined whether this structural change presages a functional benefit for patients over </w:t>
      </w:r>
      <w:proofErr w:type="gramStart"/>
      <w:r w:rsidRPr="00E20E90" w:rsidDel="003D7624">
        <w:rPr>
          <w:rFonts w:ascii="Arial" w:hAnsi="Arial" w:cs="Arial"/>
        </w:rPr>
        <w:t>a longer</w:t>
      </w:r>
      <w:proofErr w:type="gramEnd"/>
      <w:r w:rsidRPr="00E20E90">
        <w:rPr>
          <w:rFonts w:ascii="Arial" w:hAnsi="Arial" w:cs="Arial"/>
        </w:rPr>
        <w:t xml:space="preserve"> treatment duration.</w:t>
      </w:r>
    </w:p>
    <w:p w:rsidR="006629E0" w:rsidRPr="00E20E90" w:rsidRDefault="006629E0" w:rsidP="006629E0">
      <w:pPr>
        <w:ind w:right="-720"/>
        <w:rPr>
          <w:rFonts w:ascii="Arial" w:hAnsi="Arial" w:cs="Arial"/>
          <w:b/>
        </w:rPr>
      </w:pPr>
    </w:p>
    <w:p w:rsidR="006629E0" w:rsidRPr="00E20E90" w:rsidRDefault="006629E0" w:rsidP="006629E0">
      <w:pPr>
        <w:ind w:right="-720"/>
        <w:rPr>
          <w:rFonts w:ascii="Arial" w:hAnsi="Arial" w:cs="Arial"/>
          <w:b/>
        </w:rPr>
      </w:pPr>
    </w:p>
    <w:p w:rsidR="00526012" w:rsidRPr="006629E0" w:rsidRDefault="00526012" w:rsidP="006629E0">
      <w:pPr>
        <w:jc w:val="both"/>
      </w:pPr>
    </w:p>
    <w:sectPr w:rsidR="00526012" w:rsidRPr="006629E0"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9E0"/>
    <w:rsid w:val="00526012"/>
    <w:rsid w:val="00633897"/>
    <w:rsid w:val="00642A97"/>
    <w:rsid w:val="006629E0"/>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29E0"/>
    <w:rPr>
      <w:rFonts w:ascii="Times New Roman" w:eastAsia="Times New Roman" w:hAnsi="Times New Roman" w:cs="Times New Roman"/>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6629E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29E0"/>
    <w:rPr>
      <w:rFonts w:ascii="Times New Roman" w:eastAsia="Times New Roman" w:hAnsi="Times New Roman" w:cs="Times New Roman"/>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6629E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2012-07-03T09:21:00Z</dcterms:created>
  <dcterms:modified xsi:type="dcterms:W3CDTF">2012-07-03T09:24:00Z</dcterms:modified>
</cp:coreProperties>
</file>